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spacing w:after="140"/>
      </w:pPr>
      <w:r>
        <w:t xml:space="preserve">North Harbor decision review</w:t>
      </w:r>
    </w:p>
    <w:p>
      <w:pPr>
        <w:spacing w:after="140"/>
      </w:pPr>
      <w:r>
        <w:t xml:space="preserve">North Harbor Operations Center Modernization</w:t>
      </w:r>
    </w:p>
    <w:p>
      <w:pPr>
        <w:spacing w:after="220"/>
      </w:pPr>
      <w:r>
        <w:t xml:space="preserve">Synthetic walkthrough example. Prepared to accompany the ClearRFP marketing site; not a live product export.</w:t>
      </w:r>
    </w:p>
    <w:p>
      <w:pPr>
        <w:pStyle w:val="Heading1"/>
        <w:spacing w:after="140" w:before="240"/>
      </w:pPr>
      <w:r>
        <w:t xml:space="preserve">Recommendation and human decision</w:t>
      </w:r>
    </w:p>
    <w:p>
      <w:pPr>
        <w:spacing w:after="140"/>
      </w:pPr>
      <w:r>
        <w:t xml:space="preserve">AI recommendation: Conditional Go. Proceed only if the open conditions are cleared.</w:t>
      </w:r>
    </w:p>
    <w:p>
      <w:pPr>
        <w:spacing w:after="140"/>
      </w:pPr>
      <w:r>
        <w:t xml:space="preserve">Human decision: pending. This example records no approval to bid, release or submit.</w:t>
      </w:r>
    </w:p>
    <w:p>
      <w:pPr>
        <w:pStyle w:val="Heading1"/>
        <w:spacing w:after="140" w:before="240"/>
      </w:pPr>
      <w:r>
        <w:t xml:space="preserve">Conditions to resolve</w:t>
      </w:r>
    </w:p>
    <w:p>
      <w:pPr>
        <w:spacing w:after="140"/>
      </w:pPr>
      <w:r>
        <w:t xml:space="preserve">1. 5% bid bond and 100% performance bond required.</w:t>
      </w:r>
    </w:p>
    <w:p>
      <w:pPr>
        <w:spacing w:after="140"/>
      </w:pPr>
      <w:r>
        <w:t xml:space="preserve">2. Aggressive 45-day procurement-to-mobilization window.</w:t>
      </w:r>
    </w:p>
    <w:p>
      <w:pPr>
        <w:spacing w:after="140"/>
      </w:pPr>
      <w:r>
        <w:t xml:space="preserve">3. Liquidated damages need legal review.</w:t>
      </w:r>
    </w:p>
    <w:p>
      <w:pPr>
        <w:pStyle w:val="Heading1"/>
        <w:spacing w:after="140" w:before="240"/>
      </w:pPr>
      <w:r>
        <w:t xml:space="preserve">Source passage for legal review</w:t>
      </w:r>
    </w:p>
    <w:p>
      <w:pPr>
        <w:spacing w:after="140"/>
      </w:pPr>
      <w:r>
        <w:t xml:space="preserve">“Liquidated damages of $1,500 per calendar day apply after substantial completion.”</w:t>
      </w:r>
    </w:p>
    <w:p>
      <w:pPr>
        <w:spacing w:after="140"/>
      </w:pPr>
      <w:r>
        <w:t xml:space="preserve">General Conditions · p.42 — synthetic passage. Owner: Legal. Review state: Open.</w:t>
      </w:r>
    </w:p>
    <w:p>
      <w:pPr>
        <w:spacing w:after="140"/>
      </w:pPr>
      <w:r>
        <w:t xml:space="preserve">Confirm schedule float and legal tolerance before committing to bid.</w:t>
      </w:r>
    </w:p>
    <w:p>
      <w:pPr>
        <w:pStyle w:val="Heading1"/>
        <w:spacing w:after="140" w:before="240"/>
      </w:pPr>
      <w:r>
        <w:t xml:space="preserve">Compliance excerpt</w:t>
      </w:r>
    </w:p>
    <w:p>
      <w:pPr>
        <w:spacing w:after="140"/>
      </w:pPr>
      <w:r>
        <w:t xml:space="preserve">Four selected requirements from the 41-requirement scenario. Source labels refer to the fictional RFP_Main.pdf; the full source package is not included.</w:t>
      </w:r>
    </w:p>
    <w:tbl>
      <w:tblPr>
        <w:tblW w:type="dxa" w:w="9000"/>
        <w:tblBorders>
          <w:top w:val="single" w:color="D9D9D9" w:sz="4"/>
          <w:left w:val="single" w:color="D9D9D9" w:sz="4"/>
          <w:bottom w:val="single" w:color="D9D9D9" w:sz="4"/>
          <w:right w:val="single" w:color="D9D9D9" w:sz="4"/>
          <w:insideH w:val="single" w:color="D9D9D9" w:sz="4"/>
          <w:insideV w:val="single" w:color="D9D9D9" w:sz="4"/>
        </w:tblBorders>
      </w:tblPr>
      <w:tblGrid>
        <w:gridCol w:w="5100"/>
        <w:gridCol w:w="1200"/>
        <w:gridCol w:w="1500"/>
        <w:gridCol w:w="1200"/>
      </w:tblGrid>
      <w:tr>
        <w:trPr>
          <w:cantSplit/>
          <w:tblHeader/>
        </w:trPr>
        <w:tc>
          <w:tcPr>
            <w:tcW w:type="dxa" w:w="5100"/>
            <w:shd w:fill="E9ECEB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Requirement</w:t>
            </w:r>
          </w:p>
        </w:tc>
        <w:tc>
          <w:tcPr>
            <w:tcW w:type="dxa" w:w="1200"/>
            <w:shd w:fill="E9ECEB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Source</w:t>
            </w:r>
          </w:p>
        </w:tc>
        <w:tc>
          <w:tcPr>
            <w:tcW w:type="dxa" w:w="1500"/>
            <w:shd w:fill="E9ECEB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State</w:t>
            </w:r>
          </w:p>
        </w:tc>
        <w:tc>
          <w:tcPr>
            <w:tcW w:type="dxa" w:w="1200"/>
            <w:shd w:fill="E9ECEB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 xml:space="preserve">Risk</w:t>
            </w:r>
          </w:p>
        </w:tc>
      </w:tr>
      <w:tr>
        <w:trPr>
          <w:cantSplit/>
          <w:tblHeader w:val="false"/>
        </w:trPr>
        <w:tc>
          <w:tcPr>
            <w:tcW w:type="dxa" w:w="51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Acknowledge Addenda 1-2 on bid form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p.03</w:t>
            </w:r>
          </w:p>
        </w:tc>
        <w:tc>
          <w:tcPr>
            <w:tcW w:type="dxa" w:w="15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Missing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High</w:t>
            </w:r>
          </w:p>
        </w:tc>
      </w:tr>
      <w:tr>
        <w:trPr>
          <w:cantSplit/>
          <w:tblHeader w:val="false"/>
        </w:trPr>
        <w:tc>
          <w:tcPr>
            <w:tcW w:type="dxa" w:w="51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5% bid bond from Treasury-listed surety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p.14</w:t>
            </w:r>
          </w:p>
        </w:tc>
        <w:tc>
          <w:tcPr>
            <w:tcW w:type="dxa" w:w="15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Required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High</w:t>
            </w:r>
          </w:p>
        </w:tc>
      </w:tr>
      <w:tr>
        <w:trPr>
          <w:cantSplit/>
          <w:tblHeader w:val="false"/>
        </w:trPr>
        <w:tc>
          <w:tcPr>
            <w:tcW w:type="dxa" w:w="51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ACORD certificate naming City as additional insured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p.18</w:t>
            </w:r>
          </w:p>
        </w:tc>
        <w:tc>
          <w:tcPr>
            <w:tcW w:type="dxa" w:w="15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Required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Medium</w:t>
            </w:r>
          </w:p>
        </w:tc>
      </w:tr>
      <w:tr>
        <w:trPr>
          <w:cantSplit/>
          <w:tblHeader w:val="false"/>
        </w:trPr>
        <w:tc>
          <w:tcPr>
            <w:tcW w:type="dxa" w:w="51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left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Two municipal HVAC references over $2M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p.35</w:t>
            </w:r>
          </w:p>
        </w:tc>
        <w:tc>
          <w:tcPr>
            <w:tcW w:type="dxa" w:w="15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Matched</w:t>
            </w:r>
          </w:p>
        </w:tc>
        <w:tc>
          <w:tcPr>
            <w:tcW w:type="dxa" w:w="1200"/>
            <w:shd w:fill="FFFFFF"/>
            <w:tcMar>
              <w:top w:type="dxa" w:w="120"/>
              <w:left w:type="dxa" w:w="120"/>
              <w:bottom w:type="dxa" w:w="120"/>
              <w:right w:type="dxa" w:w="120"/>
            </w:tcMar>
            <w:vAlign w:val="center"/>
          </w:tcPr>
          <w:p>
            <w:pPr>
              <w:spacing w:after="0" w:line="260"/>
              <w:jc w:val="center"/>
            </w:pPr>
            <w:r>
              <w:rPr>
                <w:b w:val="false"/>
                <w:bCs w:val="false"/>
                <w:color w:val="000000"/>
                <w:sz w:val="21"/>
                <w:szCs w:val="21"/>
              </w:rPr>
              <w:t xml:space="preserve">Low</w:t>
            </w:r>
          </w:p>
        </w:tc>
      </w:tr>
    </w:tbl>
    <w:p>
      <w:pPr>
        <w:spacing w:after="140" w:before="160"/>
      </w:pPr>
      <w:r>
        <w:t xml:space="preserve">Three listed requirements need review. “Matched” identifies the reference match in this example and does not establish bid readiness.</w:t>
      </w:r>
    </w:p>
    <w:sectPr>
      <w:pgSz w:w="12240" w:h="15840" w:orient="portrait"/>
      <w:pgMar w:top="1080" w:right="1620" w:bottom="1080" w:left="16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000000"/>
        <w:sz w:val="22"/>
        <w:szCs w:val="22"/>
      </w:rPr>
    </w:rPrDefault>
    <w:pPrDefault>
      <w:pPr>
        <w:spacing w:line="285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Title">
    <w:name w:val="Title"/>
    <w:basedOn w:val="Normal"/>
    <w:rPr>
      <w:b/>
      <w:bCs/>
      <w:color w:val="000000"/>
      <w:sz w:val="44"/>
      <w:szCs w:val="44"/>
    </w:rPr>
  </w:style>
  <w:style w:type="paragraph" w:styleId="Heading1">
    <w:name w:val="Heading 1"/>
    <w:basedOn w:val="Normal"/>
    <w:next w:val="Normal"/>
    <w:qFormat/>
    <w:rPr>
      <w:b/>
      <w:bCs/>
      <w:color w:val="000000"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North Harbor decision review — synthetic example</dc:title>
  <dc:creator>ClearRFP</dc:creator>
  <cp:lastModifiedBy>Un-named</cp:lastModifiedBy>
  <cp:revision>1</cp:revision>
  <dcterms:created xsi:type="dcterms:W3CDTF">2026-09-13T13:58:12.856Z</dcterms:created>
  <dcterms:modified xsi:type="dcterms:W3CDTF">2026-09-13T13:58:12.858Z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