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ptos" w:hAnsi="Aptos"/>
          <w:b/>
          <w:color w:val="123F3A"/>
          <w:sz w:val="48"/>
        </w:rPr>
        <w:t>Go/No-Go Memo</w:t>
      </w:r>
    </w:p>
    <w:p>
      <w:pPr>
        <w:spacing w:after="60"/>
      </w:pPr>
      <w:r>
        <w:rPr>
          <w:rFonts w:ascii="Aptos" w:hAnsi="Aptos"/>
          <w:b/>
          <w:color w:val="1A211E"/>
          <w:sz w:val="22"/>
        </w:rPr>
        <w:t xml:space="preserve">Project: </w:t>
      </w:r>
      <w:r>
        <w:rPr>
          <w:rFonts w:ascii="Aptos" w:hAnsi="Aptos"/>
          <w:color w:val="1A211E"/>
          <w:sz w:val="22"/>
        </w:rPr>
        <w:t>Civic Center HVAC Retrofit</w:t>
      </w:r>
    </w:p>
    <w:p>
      <w:pPr>
        <w:spacing w:after="200"/>
      </w:pPr>
      <w:r>
        <w:rPr>
          <w:rFonts w:ascii="Aptos" w:hAnsi="Aptos"/>
          <w:b/>
          <w:color w:val="66736F"/>
          <w:sz w:val="20"/>
        </w:rPr>
        <w:t xml:space="preserve">Organization: </w:t>
      </w:r>
      <w:r>
        <w:rPr>
          <w:rFonts w:ascii="Aptos" w:hAnsi="Aptos"/>
          <w:color w:val="66736F"/>
          <w:sz w:val="20"/>
        </w:rPr>
        <w:t>Acme Infrastructure Group</w:t>
      </w:r>
    </w:p>
    <w:p>
      <w:pPr>
        <w:spacing w:after="280"/>
      </w:pPr>
      <w:r>
        <w:rPr>
          <w:rFonts w:ascii="Aptos" w:hAnsi="Aptos"/>
          <w:color w:val="66736F"/>
          <w:sz w:val="24"/>
        </w:rPr>
        <w:t>Sample bid decision package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43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Value</w:t>
            </w:r>
          </w:p>
        </w:tc>
      </w:tr>
      <w:tr>
        <w:tc>
          <w:tcPr>
            <w:tcW w:type="dxa" w:w="43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Recommendation</w:t>
            </w:r>
          </w:p>
        </w:tc>
        <w:tc>
          <w:tcPr>
            <w:tcW w:type="dxa" w:w="43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Conditional Go</w:t>
            </w:r>
          </w:p>
        </w:tc>
      </w:tr>
      <w:tr>
        <w:tc>
          <w:tcPr>
            <w:tcW w:type="dxa" w:w="43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Score</w:t>
            </w:r>
          </w:p>
        </w:tc>
        <w:tc>
          <w:tcPr>
            <w:tcW w:type="dxa" w:w="43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82 / 100</w:t>
            </w:r>
          </w:p>
        </w:tc>
      </w:tr>
      <w:tr>
        <w:tc>
          <w:tcPr>
            <w:tcW w:type="dxa" w:w="43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Confidence</w:t>
            </w:r>
          </w:p>
        </w:tc>
        <w:tc>
          <w:tcPr>
            <w:tcW w:type="dxa" w:w="43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Medium-high</w:t>
            </w:r>
          </w:p>
        </w:tc>
      </w:tr>
      <w:tr>
        <w:tc>
          <w:tcPr>
            <w:tcW w:type="dxa" w:w="43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Open review tasks</w:t>
            </w:r>
          </w:p>
        </w:tc>
        <w:tc>
          <w:tcPr>
            <w:tcW w:type="dxa" w:w="43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7</w:t>
            </w:r>
          </w:p>
        </w:tc>
      </w:tr>
      <w:tr>
        <w:tc>
          <w:tcPr>
            <w:tcW w:type="dxa" w:w="43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Exports</w:t>
            </w:r>
          </w:p>
        </w:tc>
        <w:tc>
          <w:tcPr>
            <w:tcW w:type="dxa" w:w="43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DOCX memo + XLSX compliance matrix</w:t>
            </w:r>
          </w:p>
        </w:tc>
      </w:tr>
    </w:tbl>
    <w:p>
      <w:pPr>
        <w:spacing w:before="240" w:after="0"/>
      </w:pPr>
      <w:r>
        <w:rPr>
          <w:rFonts w:ascii="Aptos" w:hAnsi="Aptos"/>
          <w:color w:val="66736F"/>
          <w:sz w:val="19"/>
        </w:rPr>
        <w:t>All sample findings are synthetic and generated from reviewed structured data, not customer documents.</w:t>
      </w:r>
    </w:p>
    <w:p>
      <w:pPr>
        <w:sectPr>
          <w:headerReference w:type="default" r:id="rId9"/>
          <w:footerReference w:type="default" r:id="rId10"/>
          <w:pgSz w:w="12240" w:h="15840"/>
          <w:pgMar w:top="1008" w:right="1080" w:bottom="1008" w:left="1080" w:header="720" w:footer="720" w:gutter="0"/>
          <w:cols w:space="720"/>
          <w:docGrid w:linePitch="360"/>
        </w:sectPr>
      </w:pPr>
    </w:p>
    <w:p>
      <w:pPr>
        <w:spacing w:after="160"/>
      </w:pPr>
      <w:r>
        <w:rPr>
          <w:rFonts w:ascii="Aptos" w:hAnsi="Aptos"/>
          <w:color w:val="66736F"/>
          <w:sz w:val="19"/>
        </w:rPr>
        <w:t>Generated: 2026-08-04 12:00 UTC · Run #12 · ClearRFP Standard Review</w:t>
      </w:r>
    </w:p>
    <w:p>
      <w:pPr>
        <w:pStyle w:val="Heading1"/>
      </w:pPr>
      <w:r>
        <w:t>Decision Snapshot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504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Value</w:t>
            </w:r>
          </w:p>
        </w:tc>
      </w:tr>
      <w:tr>
        <w:tc>
          <w:tcPr>
            <w:tcW w:type="dxa" w:w="504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Recommendation</w:t>
            </w:r>
          </w:p>
        </w:tc>
        <w:tc>
          <w:tcPr>
            <w:tcW w:type="dxa" w:w="504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Conditional Go</w:t>
            </w:r>
          </w:p>
        </w:tc>
      </w:tr>
      <w:tr>
        <w:tc>
          <w:tcPr>
            <w:tcW w:type="dxa" w:w="504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Score</w:t>
            </w:r>
          </w:p>
        </w:tc>
        <w:tc>
          <w:tcPr>
            <w:tcW w:type="dxa" w:w="504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82 / 100</w:t>
            </w:r>
          </w:p>
        </w:tc>
      </w:tr>
      <w:tr>
        <w:tc>
          <w:tcPr>
            <w:tcW w:type="dxa" w:w="504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Confidence</w:t>
            </w:r>
          </w:p>
        </w:tc>
        <w:tc>
          <w:tcPr>
            <w:tcW w:type="dxa" w:w="504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Medium-high</w:t>
            </w:r>
          </w:p>
        </w:tc>
      </w:tr>
      <w:tr>
        <w:tc>
          <w:tcPr>
            <w:tcW w:type="dxa" w:w="504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AI memo status</w:t>
            </w:r>
          </w:p>
        </w:tc>
        <w:tc>
          <w:tcPr>
            <w:tcW w:type="dxa" w:w="504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Review required before proposal approval</w:t>
            </w:r>
          </w:p>
        </w:tc>
      </w:tr>
      <w:tr>
        <w:tc>
          <w:tcPr>
            <w:tcW w:type="dxa" w:w="504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Primary owner</w:t>
            </w:r>
          </w:p>
        </w:tc>
        <w:tc>
          <w:tcPr>
            <w:tcW w:type="dxa" w:w="504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Proposal Lead</w:t>
            </w:r>
          </w:p>
        </w:tc>
      </w:tr>
    </w:tbl>
    <w:p>
      <w:pPr>
        <w:pStyle w:val="Heading1"/>
      </w:pPr>
      <w:r>
        <w:t>AI Memo</w:t>
      </w:r>
    </w:p>
    <w:p>
      <w:r>
        <w:t>ClearRFP recommends a Conditional Go. The opportunity aligns with municipal HVAC experience and reference history, but Contracts and Finance should confirm the Addendum 2 insurance endorsement, bid bond package, Net 45 payment timing, 5% retainage, and liquidated damages exposure before final approval.</w:t>
      </w:r>
    </w:p>
    <w:p>
      <w:pPr>
        <w:pStyle w:val="Heading1"/>
      </w:pPr>
      <w:r>
        <w:t>Dimension Scores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Dimension</w:t>
            </w:r>
          </w:p>
        </w:tc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Score</w:t>
            </w:r>
          </w:p>
        </w:tc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Review note</w:t>
            </w:r>
          </w:p>
        </w:tc>
      </w:tr>
      <w:tr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Compliance feasibility</w:t>
            </w:r>
          </w:p>
        </w:tc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78</w:t>
            </w:r>
          </w:p>
        </w:tc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Signed non-collusion affidavit is still missing.</w:t>
            </w:r>
          </w:p>
        </w:tc>
      </w:tr>
      <w:tr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Risk level</w:t>
            </w:r>
          </w:p>
        </w:tc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64</w:t>
            </w:r>
          </w:p>
        </w:tc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LD clause and additional insured endorsement need review.</w:t>
            </w:r>
          </w:p>
        </w:tc>
      </w:tr>
      <w:tr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Capability fit</w:t>
            </w:r>
          </w:p>
        </w:tc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88</w:t>
            </w:r>
          </w:p>
        </w:tc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Municipal HVAC and retrofit experience match.</w:t>
            </w:r>
          </w:p>
        </w:tc>
      </w:tr>
      <w:tr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Financial fit</w:t>
            </w:r>
          </w:p>
        </w:tc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62</w:t>
            </w:r>
          </w:p>
        </w:tc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Net 45 + retainage may pressure mobilization cash flow.</w:t>
            </w:r>
          </w:p>
        </w:tc>
      </w:tr>
      <w:tr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Reference match</w:t>
            </w:r>
          </w:p>
        </w:tc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82</w:t>
            </w:r>
          </w:p>
        </w:tc>
        <w:tc>
          <w:tcPr>
            <w:tcW w:type="dxa" w:w="336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Two municipal references match; LEED history missing.</w:t>
            </w:r>
          </w:p>
        </w:tc>
      </w:tr>
    </w:tbl>
    <w:p>
      <w:pPr>
        <w:pStyle w:val="Heading1"/>
      </w:pPr>
      <w:r>
        <w:t>Primary Reasons</w:t>
      </w:r>
    </w:p>
    <w:p>
      <w:pPr>
        <w:pStyle w:val="ListBullet"/>
      </w:pPr>
      <w:r>
        <w:t>Addenda 1-3 must be acknowledged on the bid form; missing acknowledgement can make the bid nonresponsive.</w:t>
      </w:r>
    </w:p>
    <w:p>
      <w:pPr>
        <w:pStyle w:val="ListBullet"/>
      </w:pPr>
      <w:r>
        <w:t>Bid bond must include current Power of Attorney and match the required project amount.</w:t>
      </w:r>
    </w:p>
    <w:p>
      <w:pPr>
        <w:pStyle w:val="ListBullet"/>
      </w:pPr>
      <w:r>
        <w:t>Insurance certificate should name the City as additional insured per Addendum 2, p.14.</w:t>
      </w:r>
    </w:p>
    <w:p>
      <w:pPr>
        <w:pStyle w:val="ListBullet"/>
      </w:pPr>
      <w:r>
        <w:t>Finance should confirm exposure from Net 45 payment timing, 5% retainage, and $1,500/day liquidated damages.</w:t>
      </w:r>
    </w:p>
    <w:p>
      <w:pPr>
        <w:pStyle w:val="Heading1"/>
      </w:pPr>
      <w:r>
        <w:t>Open Review Tasks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Task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Owner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Due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Source</w:t>
            </w:r>
          </w:p>
        </w:tc>
      </w:tr>
      <w:tr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Confirm ACORD additional insured wording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Contracts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Jan 24, 10:00 AM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Addendum 2, p.14</w:t>
            </w:r>
          </w:p>
        </w:tc>
      </w:tr>
      <w:tr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Confirm bonding and mobilization cash-flow impact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Finance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Jan 25, 2:00 PM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Instructions, p.18</w:t>
            </w:r>
          </w:p>
        </w:tc>
      </w:tr>
      <w:tr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Attach signed non-collusion affidavit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Proposal Lead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Jan 26, 12:00 PM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Forms Package, p.4</w:t>
            </w:r>
          </w:p>
        </w:tc>
      </w:tr>
    </w:tbl>
    <w:p>
      <w:pPr>
        <w:pStyle w:val="Heading1"/>
      </w:pPr>
      <w:r>
        <w:t>Reusable Answer Suggestion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Suggested answer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Match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Human action</w:t>
            </w:r>
          </w:p>
        </w:tc>
      </w:tr>
      <w:tr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Provide insurance certificate naming the City as additional insured.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$2,000,000 per occurrence via Acme Mutual, policy GL-4471.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91%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Use or Dismiss required</w:t>
            </w:r>
          </w:p>
        </w:tc>
      </w:tr>
    </w:tbl>
    <w:p>
      <w:pPr>
        <w:pStyle w:val="Heading1"/>
      </w:pPr>
      <w:r>
        <w:t>Source References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Type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Document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Page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123F3A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9"/>
              </w:rPr>
              <w:t>Evidence</w:t>
            </w:r>
          </w:p>
        </w:tc>
      </w:tr>
      <w:tr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Requirement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Instructions to Bidders.pdf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18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Bid security and Power of Attorney requirements</w:t>
            </w:r>
          </w:p>
        </w:tc>
      </w:tr>
      <w:tr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Risk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General Conditions.pdf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42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  <w:shd w:fill="EEF7F4"/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Liquidated damages: $1,500 per calendar day</w:t>
            </w:r>
          </w:p>
        </w:tc>
      </w:tr>
      <w:tr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Task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Addendum 2.pdf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14</w:t>
            </w:r>
          </w:p>
        </w:tc>
        <w:tc>
          <w:tcPr>
            <w:tcW w:type="dxa" w:w="2520"/>
            <w:tcMar>
              <w:top w:w="120" w:type="dxa"/>
              <w:bottom w:w="120" w:type="dxa"/>
              <w:start w:w="120" w:type="dxa"/>
              <w:end w:w="120" w:type="dxa"/>
            </w:tcMar>
            <w:tcBorders>
              <w:top w:val="single" w:sz="4" w:space="0" w:color="BFD9D2"/>
              <w:left w:val="single" w:sz="4" w:space="0" w:color="BFD9D2"/>
              <w:bottom w:val="single" w:sz="4" w:space="0" w:color="BFD9D2"/>
              <w:right w:val="single" w:sz="4" w:space="0" w:color="BFD9D2"/>
            </w:tcBorders>
          </w:tcPr>
          <w:p>
            <w:pPr>
              <w:spacing w:after="0"/>
            </w:pPr>
            <w:r>
              <w:rPr>
                <w:rFonts w:ascii="Aptos" w:hAnsi="Aptos"/>
                <w:color w:val="1A211E"/>
                <w:sz w:val="19"/>
              </w:rPr>
              <w:t>Additional insured endorsement language</w:t>
            </w:r>
          </w:p>
        </w:tc>
      </w:tr>
    </w:tbl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325880" cy="246761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full-logo-ClearRFP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5880" cy="246761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1A211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ptos" w:hAnsi="Aptos"/>
      <w:b/>
      <w:bCs/>
      <w:color w:val="123F3A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1A211E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66736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" w:hAnsi="Aptos"/>
      <w:b/>
      <w:color w:val="123F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contextualSpacing/>
    </w:pPr>
    <w:rPr>
      <w:rFonts w:ascii="Aptos" w:hAnsi="Aptos"/>
      <w:color w:val="1A211E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contextualSpacing/>
    </w:pPr>
    <w:rPr>
      <w:rFonts w:ascii="Aptos" w:hAnsi="Aptos"/>
      <w:color w:val="1A211E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Go/No-Go Memo</dc:title>
  <dc:subject>RFP Intelligence Export</dc:subject>
  <dc:creator>ClearRFP</dc:creator>
  <cp:keywords>rfp, export, clearrfp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